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8504E" w14:textId="4CDF4406" w:rsidR="00F60395" w:rsidRDefault="00F60395" w:rsidP="00F60395">
      <w:r>
        <w:rPr>
          <w:noProof/>
          <w:lang w:eastAsia="en-GB" w:bidi="ar-SA"/>
        </w:rPr>
        <w:drawing>
          <wp:inline distT="0" distB="0" distL="0" distR="0" wp14:anchorId="10395A93" wp14:editId="2C418AC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36D8C17" w14:textId="77777777" w:rsidR="00F60395" w:rsidRDefault="00F60395" w:rsidP="00F60395"/>
    <w:p w14:paraId="6CA41A55" w14:textId="77777777" w:rsidR="00F60395" w:rsidRPr="003B25C8" w:rsidRDefault="00F60395" w:rsidP="00F60395">
      <w:pPr>
        <w:pStyle w:val="FSTitle"/>
        <w:rPr>
          <w:b/>
        </w:rPr>
      </w:pPr>
      <w:r w:rsidRPr="003B25C8">
        <w:rPr>
          <w:b/>
        </w:rPr>
        <w:t>Supporting document 2</w:t>
      </w:r>
    </w:p>
    <w:p w14:paraId="6E930FC2" w14:textId="77777777" w:rsidR="00F60395" w:rsidRPr="003B25C8" w:rsidRDefault="00F60395" w:rsidP="00F60395"/>
    <w:p w14:paraId="09FE4939" w14:textId="37B59B60" w:rsidR="00531AD9" w:rsidRDefault="002605BA" w:rsidP="00F60395">
      <w:pPr>
        <w:pStyle w:val="FSTitle"/>
      </w:pPr>
      <w:r>
        <w:t>P</w:t>
      </w:r>
      <w:r w:rsidR="003B25C8" w:rsidRPr="003B25C8">
        <w:t xml:space="preserve">rocess </w:t>
      </w:r>
      <w:r w:rsidR="005F640E">
        <w:t>h</w:t>
      </w:r>
      <w:r w:rsidR="003B25C8" w:rsidRPr="003B25C8">
        <w:t xml:space="preserve">ygiene </w:t>
      </w:r>
      <w:r w:rsidR="005F640E">
        <w:t>c</w:t>
      </w:r>
      <w:r w:rsidR="003B25C8" w:rsidRPr="003B25C8">
        <w:t xml:space="preserve">riteria </w:t>
      </w:r>
      <w:r w:rsidR="005F640E">
        <w:t>in powdered infant formula products</w:t>
      </w:r>
      <w:r w:rsidR="00531AD9">
        <w:t xml:space="preserve"> – </w:t>
      </w:r>
      <w:r w:rsidR="00F60395" w:rsidRPr="003B25C8">
        <w:t>Proposal P1039</w:t>
      </w:r>
    </w:p>
    <w:p w14:paraId="70016D85" w14:textId="77777777" w:rsidR="00531AD9" w:rsidRDefault="00531AD9" w:rsidP="00AD4084"/>
    <w:p w14:paraId="51D2E404" w14:textId="763B9D72" w:rsidR="00F60395" w:rsidRPr="003B25C8" w:rsidRDefault="00F60395" w:rsidP="00F60395">
      <w:pPr>
        <w:pStyle w:val="FSTitle"/>
      </w:pPr>
      <w:r w:rsidRPr="003B25C8">
        <w:t>Microbiological Criteria for Infant Formula</w:t>
      </w:r>
    </w:p>
    <w:p w14:paraId="228243B3" w14:textId="77777777" w:rsidR="00F60395" w:rsidRPr="00B37BF0" w:rsidRDefault="00F60395" w:rsidP="00F60395">
      <w:pPr>
        <w:pBdr>
          <w:bottom w:val="single" w:sz="12" w:space="1" w:color="auto"/>
        </w:pBdr>
        <w:spacing w:line="280" w:lineRule="exact"/>
        <w:rPr>
          <w:rFonts w:cs="Arial"/>
          <w:bCs/>
        </w:rPr>
      </w:pPr>
    </w:p>
    <w:p w14:paraId="7A6BE01F" w14:textId="77777777" w:rsidR="00F60395" w:rsidRPr="00B37BF0" w:rsidRDefault="00F60395" w:rsidP="00F60395"/>
    <w:p w14:paraId="17820B03" w14:textId="6EF4B299" w:rsidR="00F60395" w:rsidRPr="00092CDA" w:rsidRDefault="00FC309A" w:rsidP="00533BE5">
      <w:pPr>
        <w:pStyle w:val="Heading1"/>
      </w:pPr>
      <w:r>
        <w:t>1</w:t>
      </w:r>
      <w:r>
        <w:tab/>
      </w:r>
      <w:r w:rsidR="00533BE5" w:rsidRPr="00533BE5">
        <w:t>Introduction</w:t>
      </w:r>
    </w:p>
    <w:p w14:paraId="3C7D678A" w14:textId="5A3105C2" w:rsidR="005F640E" w:rsidRPr="005F640E" w:rsidRDefault="002E041D" w:rsidP="002E041D">
      <w:r w:rsidRPr="005F640E">
        <w:t xml:space="preserve">FSANZ is undertaking a review of microbiological criteria contained in Standard 1.6.1 of the </w:t>
      </w:r>
      <w:r w:rsidRPr="005F640E">
        <w:rPr>
          <w:i/>
        </w:rPr>
        <w:t xml:space="preserve">Australia New Zealand Food Standards Code </w:t>
      </w:r>
      <w:r w:rsidRPr="005F640E">
        <w:t xml:space="preserve">(Code) and associated documents. Proposal P1039 has been prepared to </w:t>
      </w:r>
      <w:r w:rsidR="005F640E" w:rsidRPr="005F640E">
        <w:t xml:space="preserve">align microbiological food safety criteria for </w:t>
      </w:r>
      <w:r w:rsidR="005F640E" w:rsidRPr="005F640E">
        <w:rPr>
          <w:i/>
        </w:rPr>
        <w:t>Salmonella</w:t>
      </w:r>
      <w:r w:rsidR="005F640E" w:rsidRPr="005F640E">
        <w:t xml:space="preserve"> and </w:t>
      </w:r>
      <w:r w:rsidR="005F640E" w:rsidRPr="005F640E">
        <w:rPr>
          <w:i/>
        </w:rPr>
        <w:t>Cronobacter</w:t>
      </w:r>
      <w:r w:rsidR="005F640E" w:rsidRPr="005F640E">
        <w:t xml:space="preserve"> in powdered infant formula and powdered follow on formula in Schedule 27 </w:t>
      </w:r>
      <w:r w:rsidR="0077026B">
        <w:t>in</w:t>
      </w:r>
      <w:r w:rsidR="0077026B" w:rsidRPr="005F640E">
        <w:t xml:space="preserve"> the</w:t>
      </w:r>
      <w:r w:rsidR="0077026B">
        <w:t xml:space="preserve"> </w:t>
      </w:r>
      <w:r w:rsidR="0077026B" w:rsidRPr="00AD4084">
        <w:rPr>
          <w:i/>
        </w:rPr>
        <w:t xml:space="preserve">Australia New Zealand </w:t>
      </w:r>
      <w:r w:rsidR="005F640E" w:rsidRPr="00AD4084">
        <w:rPr>
          <w:i/>
        </w:rPr>
        <w:t>Food Standards Code</w:t>
      </w:r>
      <w:r w:rsidR="005F640E" w:rsidRPr="005F640E">
        <w:t xml:space="preserve"> with Codex principles. These criteria apply for regulatory testing purposes. To meet the stringency of the sampling plans specified for these pathogens it would be expected that </w:t>
      </w:r>
      <w:r w:rsidR="005F640E" w:rsidRPr="005F640E">
        <w:rPr>
          <w:szCs w:val="20"/>
        </w:rPr>
        <w:t>infant formula manufacturers utilise routine m</w:t>
      </w:r>
      <w:r w:rsidR="005F640E" w:rsidRPr="005F640E">
        <w:t>icrobiological s</w:t>
      </w:r>
      <w:r w:rsidR="005F640E" w:rsidRPr="005F640E">
        <w:rPr>
          <w:szCs w:val="20"/>
        </w:rPr>
        <w:t xml:space="preserve">ampling and testing as part of monitoring and verification of the food safety control system they have in place. </w:t>
      </w:r>
    </w:p>
    <w:p w14:paraId="5EE4F55E" w14:textId="77777777" w:rsidR="005F640E" w:rsidRPr="005F640E" w:rsidRDefault="005F640E" w:rsidP="002E041D"/>
    <w:p w14:paraId="72ED2E68" w14:textId="177683FE" w:rsidR="00F60395" w:rsidRPr="005F640E" w:rsidRDefault="00F60395" w:rsidP="00F60395">
      <w:r w:rsidRPr="005F640E">
        <w:rPr>
          <w:lang w:val="en-US"/>
        </w:rPr>
        <w:t xml:space="preserve">The Codex </w:t>
      </w:r>
      <w:r w:rsidRPr="005F640E">
        <w:rPr>
          <w:i/>
          <w:lang w:val="en-US"/>
        </w:rPr>
        <w:t>Code of Hygienic Practice for Powdered Formulae for Infants and Young Children</w:t>
      </w:r>
      <w:r w:rsidRPr="005F640E">
        <w:rPr>
          <w:lang w:val="en-US"/>
        </w:rPr>
        <w:t xml:space="preserve"> (CAC/RCP 66 – 2008) </w:t>
      </w:r>
      <w:r w:rsidRPr="005F640E">
        <w:t xml:space="preserve">provides guidance on the hygienic manufacture of powdered infant formula and on the subsequent hygienic preparation, handling and use of reconstituted formula products. </w:t>
      </w:r>
    </w:p>
    <w:p w14:paraId="101A2E17" w14:textId="77777777" w:rsidR="00F60395" w:rsidRPr="005F640E" w:rsidRDefault="00F60395" w:rsidP="00F60395">
      <w:pPr>
        <w:rPr>
          <w:szCs w:val="20"/>
        </w:rPr>
      </w:pPr>
    </w:p>
    <w:p w14:paraId="01476E51" w14:textId="49BCED4C" w:rsidR="002E041D" w:rsidRPr="005F640E" w:rsidRDefault="00F60395" w:rsidP="002E041D">
      <w:pPr>
        <w:rPr>
          <w:rFonts w:ascii="Arial Bold" w:hAnsi="Arial Bold"/>
          <w:b/>
          <w:bCs/>
          <w:caps/>
          <w:color w:val="000000" w:themeColor="text1"/>
          <w:sz w:val="28"/>
          <w:lang w:eastAsia="en-AU" w:bidi="ar-SA"/>
        </w:rPr>
      </w:pPr>
      <w:r w:rsidRPr="005F640E">
        <w:rPr>
          <w:szCs w:val="20"/>
        </w:rPr>
        <w:t xml:space="preserve">FSANZ </w:t>
      </w:r>
      <w:r w:rsidR="00E24517">
        <w:rPr>
          <w:szCs w:val="20"/>
        </w:rPr>
        <w:t>is developing</w:t>
      </w:r>
      <w:r w:rsidRPr="005F640E">
        <w:rPr>
          <w:szCs w:val="20"/>
        </w:rPr>
        <w:t xml:space="preserve"> a single guidance document titled </w:t>
      </w:r>
      <w:r w:rsidRPr="005F640E">
        <w:rPr>
          <w:rFonts w:cs="Arial"/>
          <w:bCs/>
          <w:i/>
          <w:color w:val="000000" w:themeColor="text1"/>
          <w:lang w:eastAsia="en-AU" w:bidi="ar-SA"/>
        </w:rPr>
        <w:t xml:space="preserve">Compendium of Microbiological Criteria for Food </w:t>
      </w:r>
      <w:r w:rsidR="00E24517">
        <w:rPr>
          <w:rFonts w:cs="Arial"/>
          <w:bCs/>
          <w:i/>
          <w:color w:val="000000" w:themeColor="text1"/>
          <w:lang w:eastAsia="en-AU" w:bidi="ar-SA"/>
        </w:rPr>
        <w:t>t</w:t>
      </w:r>
      <w:r w:rsidR="005F640E" w:rsidRPr="005F640E">
        <w:rPr>
          <w:rFonts w:cs="Arial"/>
          <w:bCs/>
          <w:color w:val="000000" w:themeColor="text1"/>
          <w:lang w:eastAsia="en-AU" w:bidi="ar-SA"/>
        </w:rPr>
        <w:t xml:space="preserve">o provide guidance on appropriate process hygiene criteria for </w:t>
      </w:r>
      <w:r w:rsidR="005F640E">
        <w:rPr>
          <w:rFonts w:cs="Arial"/>
          <w:bCs/>
          <w:color w:val="000000" w:themeColor="text1"/>
          <w:lang w:eastAsia="en-AU" w:bidi="ar-SA"/>
        </w:rPr>
        <w:t>specific</w:t>
      </w:r>
      <w:r w:rsidR="005F640E" w:rsidRPr="005F640E">
        <w:rPr>
          <w:rFonts w:cs="Arial"/>
          <w:bCs/>
          <w:color w:val="000000" w:themeColor="text1"/>
          <w:lang w:eastAsia="en-AU" w:bidi="ar-SA"/>
        </w:rPr>
        <w:t xml:space="preserve"> commodities</w:t>
      </w:r>
      <w:r w:rsidR="005F640E">
        <w:rPr>
          <w:rFonts w:cs="Arial"/>
          <w:bCs/>
          <w:color w:val="000000" w:themeColor="text1"/>
          <w:lang w:eastAsia="en-AU" w:bidi="ar-SA"/>
        </w:rPr>
        <w:t xml:space="preserve"> or food types</w:t>
      </w:r>
      <w:r w:rsidR="005F640E" w:rsidRPr="005F640E">
        <w:rPr>
          <w:rFonts w:cs="Arial"/>
          <w:bCs/>
          <w:color w:val="000000" w:themeColor="text1"/>
          <w:lang w:eastAsia="en-AU" w:bidi="ar-SA"/>
        </w:rPr>
        <w:t>.</w:t>
      </w:r>
      <w:r w:rsidR="00F47371" w:rsidRPr="005F640E">
        <w:rPr>
          <w:rFonts w:cs="Arial"/>
          <w:bCs/>
          <w:color w:val="000000" w:themeColor="text1"/>
          <w:lang w:eastAsia="en-AU" w:bidi="ar-SA"/>
        </w:rPr>
        <w:t xml:space="preserve"> </w:t>
      </w:r>
      <w:r w:rsidR="002E041D" w:rsidRPr="005F640E">
        <w:rPr>
          <w:lang w:eastAsia="en-AU" w:bidi="ar-SA"/>
        </w:rPr>
        <w:t xml:space="preserve">This </w:t>
      </w:r>
      <w:r w:rsidR="005F640E">
        <w:rPr>
          <w:lang w:eastAsia="en-AU" w:bidi="ar-SA"/>
        </w:rPr>
        <w:t xml:space="preserve">supporting </w:t>
      </w:r>
      <w:r w:rsidR="002E041D" w:rsidRPr="005F640E">
        <w:rPr>
          <w:lang w:eastAsia="en-AU" w:bidi="ar-SA"/>
        </w:rPr>
        <w:t xml:space="preserve">document provides </w:t>
      </w:r>
      <w:r w:rsidR="005F640E" w:rsidRPr="005F640E">
        <w:rPr>
          <w:lang w:eastAsia="en-AU" w:bidi="ar-SA"/>
        </w:rPr>
        <w:t xml:space="preserve">the </w:t>
      </w:r>
      <w:r w:rsidR="002E041D" w:rsidRPr="005F640E">
        <w:rPr>
          <w:lang w:eastAsia="en-AU" w:bidi="ar-SA"/>
        </w:rPr>
        <w:t xml:space="preserve">proposed process hygiene criteria for powdered infant formula products, to be included in the </w:t>
      </w:r>
      <w:r w:rsidR="002E041D" w:rsidRPr="005F640E">
        <w:rPr>
          <w:rFonts w:cs="Arial"/>
          <w:bCs/>
          <w:i/>
          <w:color w:val="000000" w:themeColor="text1"/>
          <w:lang w:eastAsia="en-AU" w:bidi="ar-SA"/>
        </w:rPr>
        <w:t>Compendium of Microbiological Criteria for Food.</w:t>
      </w:r>
      <w:r w:rsidR="002E041D" w:rsidRPr="005F640E">
        <w:rPr>
          <w:lang w:eastAsia="en-AU" w:bidi="ar-SA"/>
        </w:rPr>
        <w:t xml:space="preserve"> </w:t>
      </w:r>
    </w:p>
    <w:p w14:paraId="2C5FCE1A" w14:textId="77777777" w:rsidR="002E041D" w:rsidRPr="005F640E" w:rsidRDefault="002E041D" w:rsidP="002E041D">
      <w:pPr>
        <w:rPr>
          <w:szCs w:val="20"/>
        </w:rPr>
      </w:pPr>
    </w:p>
    <w:p w14:paraId="5F6715A1" w14:textId="77777777" w:rsidR="00F60395" w:rsidRDefault="00F60395" w:rsidP="00F60395"/>
    <w:p w14:paraId="10B5B63B" w14:textId="77777777" w:rsidR="00F60395" w:rsidRDefault="00F60395" w:rsidP="00F60395"/>
    <w:p w14:paraId="261CA8C3" w14:textId="77777777" w:rsidR="00F60395" w:rsidRDefault="00F60395" w:rsidP="00F60395">
      <w:pPr>
        <w:sectPr w:rsidR="00F60395" w:rsidSect="007D03EA">
          <w:footerReference w:type="even" r:id="rId15"/>
          <w:footerReference w:type="default" r:id="rId16"/>
          <w:headerReference w:type="first" r:id="rId17"/>
          <w:pgSz w:w="11906" w:h="16838"/>
          <w:pgMar w:top="1418" w:right="1418" w:bottom="1134" w:left="1418" w:header="709" w:footer="709" w:gutter="0"/>
          <w:pgNumType w:fmt="lowerRoman" w:start="1"/>
          <w:cols w:space="708"/>
          <w:docGrid w:linePitch="360"/>
        </w:sectPr>
      </w:pPr>
    </w:p>
    <w:p w14:paraId="036E2794" w14:textId="193AF266" w:rsidR="00533BE5" w:rsidRDefault="00FC309A" w:rsidP="00533BE5">
      <w:pPr>
        <w:pStyle w:val="Heading1"/>
        <w:rPr>
          <w:lang w:eastAsia="en-AU"/>
        </w:rPr>
      </w:pPr>
      <w:r>
        <w:rPr>
          <w:lang w:eastAsia="en-AU"/>
        </w:rPr>
        <w:lastRenderedPageBreak/>
        <w:t>2</w:t>
      </w:r>
      <w:r>
        <w:rPr>
          <w:lang w:eastAsia="en-AU"/>
        </w:rPr>
        <w:tab/>
      </w:r>
      <w:r w:rsidR="002605BA">
        <w:rPr>
          <w:lang w:eastAsia="en-AU"/>
        </w:rPr>
        <w:t>Process Hygiene Criteria</w:t>
      </w:r>
    </w:p>
    <w:p w14:paraId="1624EFC0" w14:textId="093CE5B4" w:rsidR="00F60395" w:rsidRDefault="00FC309A" w:rsidP="00FC309A">
      <w:pPr>
        <w:pStyle w:val="Heading2"/>
      </w:pPr>
      <w:r>
        <w:t>2.1</w:t>
      </w:r>
      <w:r>
        <w:tab/>
      </w:r>
      <w:r w:rsidR="00F60395" w:rsidRPr="00175C05">
        <w:t>Powdered infant formula products</w:t>
      </w:r>
    </w:p>
    <w:p w14:paraId="220E452F" w14:textId="2EDE3891" w:rsidR="00F60395" w:rsidRDefault="00F60395" w:rsidP="00F60395">
      <w:r w:rsidRPr="00B755FB">
        <w:rPr>
          <w:szCs w:val="20"/>
        </w:rPr>
        <w:t xml:space="preserve">Safe production of powdered infant formula </w:t>
      </w:r>
      <w:r w:rsidR="00044550">
        <w:rPr>
          <w:szCs w:val="20"/>
        </w:rPr>
        <w:t xml:space="preserve">products </w:t>
      </w:r>
      <w:r w:rsidRPr="00B755FB">
        <w:rPr>
          <w:szCs w:val="20"/>
        </w:rPr>
        <w:t xml:space="preserve">is dependent on maintaining a high level of hygiene control to prevent entry and establishment of </w:t>
      </w:r>
      <w:r w:rsidR="00EA7F8E">
        <w:rPr>
          <w:szCs w:val="20"/>
        </w:rPr>
        <w:t xml:space="preserve">pathogens such as </w:t>
      </w:r>
      <w:r w:rsidRPr="00B755FB">
        <w:rPr>
          <w:i/>
          <w:szCs w:val="20"/>
        </w:rPr>
        <w:t>Salmonella</w:t>
      </w:r>
      <w:r w:rsidRPr="00B755FB">
        <w:rPr>
          <w:szCs w:val="20"/>
        </w:rPr>
        <w:t xml:space="preserve"> and </w:t>
      </w:r>
      <w:r w:rsidRPr="00B755FB">
        <w:rPr>
          <w:i/>
          <w:szCs w:val="20"/>
        </w:rPr>
        <w:t>Cronobacter</w:t>
      </w:r>
      <w:r w:rsidRPr="00B755FB">
        <w:rPr>
          <w:szCs w:val="20"/>
        </w:rPr>
        <w:t xml:space="preserve"> in processing areas. </w:t>
      </w:r>
      <w:r>
        <w:rPr>
          <w:lang w:val="en-US"/>
        </w:rPr>
        <w:t>T</w:t>
      </w:r>
      <w:r w:rsidRPr="00F65DBA">
        <w:rPr>
          <w:lang w:val="en-US"/>
        </w:rPr>
        <w:t>he</w:t>
      </w:r>
      <w:r>
        <w:rPr>
          <w:lang w:val="en-US"/>
        </w:rPr>
        <w:t xml:space="preserve"> Codex</w:t>
      </w:r>
      <w:r w:rsidRPr="00F65DBA">
        <w:rPr>
          <w:lang w:val="en-US"/>
        </w:rPr>
        <w:t xml:space="preserve"> </w:t>
      </w:r>
      <w:r w:rsidRPr="00F65DBA">
        <w:rPr>
          <w:i/>
          <w:lang w:val="en-US"/>
        </w:rPr>
        <w:t>Code of Hygienic Practice for Powdered Formulae for Infants and Young Children</w:t>
      </w:r>
      <w:r w:rsidRPr="00F65DBA">
        <w:rPr>
          <w:lang w:val="en-US"/>
        </w:rPr>
        <w:t xml:space="preserve"> (CAC/RCP 66 – 2008)</w:t>
      </w:r>
      <w:r>
        <w:rPr>
          <w:lang w:val="en-US"/>
        </w:rPr>
        <w:t xml:space="preserve"> </w:t>
      </w:r>
      <w:r w:rsidRPr="00720A29">
        <w:t>provide</w:t>
      </w:r>
      <w:r>
        <w:t>s</w:t>
      </w:r>
      <w:r w:rsidRPr="00720A29">
        <w:t xml:space="preserve"> guidance on the hygienic</w:t>
      </w:r>
      <w:r>
        <w:t xml:space="preserve"> </w:t>
      </w:r>
      <w:r w:rsidRPr="00720A29">
        <w:t xml:space="preserve">manufacture of </w:t>
      </w:r>
      <w:r>
        <w:t>powdered infant formula</w:t>
      </w:r>
      <w:r w:rsidR="00044550">
        <w:t>e</w:t>
      </w:r>
      <w:r w:rsidRPr="00720A29">
        <w:t xml:space="preserve"> and on the subsequent hygienic preparation, handling and use of reconstituted formula</w:t>
      </w:r>
      <w:r>
        <w:t xml:space="preserve"> products</w:t>
      </w:r>
      <w:r w:rsidRPr="00720A29">
        <w:t>.</w:t>
      </w:r>
      <w:r>
        <w:t xml:space="preserve"> </w:t>
      </w:r>
    </w:p>
    <w:p w14:paraId="1880EAE7" w14:textId="77777777" w:rsidR="00F60395" w:rsidRDefault="00F60395" w:rsidP="00F60395">
      <w:pPr>
        <w:rPr>
          <w:szCs w:val="20"/>
        </w:rPr>
      </w:pPr>
    </w:p>
    <w:p w14:paraId="24C056B1" w14:textId="63725F57" w:rsidR="00F60395" w:rsidRDefault="00F60395" w:rsidP="00F60395">
      <w:pPr>
        <w:rPr>
          <w:szCs w:val="20"/>
        </w:rPr>
      </w:pPr>
      <w:r>
        <w:t xml:space="preserve">Microbiological food safety criteria for </w:t>
      </w:r>
      <w:r w:rsidRPr="00C621FD">
        <w:rPr>
          <w:i/>
        </w:rPr>
        <w:t>Salmonella</w:t>
      </w:r>
      <w:r>
        <w:t xml:space="preserve"> and </w:t>
      </w:r>
      <w:r w:rsidRPr="00C621FD">
        <w:rPr>
          <w:i/>
        </w:rPr>
        <w:t>Cronobacter</w:t>
      </w:r>
      <w:r>
        <w:t xml:space="preserve"> in powdered infant formula and powdered follow on formula are specified in Schedule 27 </w:t>
      </w:r>
      <w:r w:rsidR="0077026B">
        <w:t xml:space="preserve">in </w:t>
      </w:r>
      <w:r>
        <w:t xml:space="preserve">the </w:t>
      </w:r>
      <w:r w:rsidR="0077026B" w:rsidRPr="00AD4084">
        <w:rPr>
          <w:i/>
        </w:rPr>
        <w:t xml:space="preserve">Australia New Zealand </w:t>
      </w:r>
      <w:r w:rsidRPr="00AD4084">
        <w:rPr>
          <w:i/>
        </w:rPr>
        <w:t>Food Standards Code</w:t>
      </w:r>
      <w:r>
        <w:t xml:space="preserve">. These criteria apply for regulatory testing purposes. To meet the stringency of the sampling plans specified for these pathogens it would be expected that </w:t>
      </w:r>
      <w:r>
        <w:rPr>
          <w:szCs w:val="20"/>
        </w:rPr>
        <w:t>infant formula manufacturers utilise routine m</w:t>
      </w:r>
      <w:r>
        <w:t>icrobiological s</w:t>
      </w:r>
      <w:r>
        <w:rPr>
          <w:szCs w:val="20"/>
        </w:rPr>
        <w:t xml:space="preserve">ampling and testing as part of monitoring and verification of the food safety control system they have in place. This may include testing of ingredients, the processing environment, in process samples and final product testing. </w:t>
      </w:r>
    </w:p>
    <w:p w14:paraId="01CA95AD" w14:textId="643C6ED7" w:rsidR="00F60395" w:rsidRDefault="00FC309A" w:rsidP="00FC309A">
      <w:pPr>
        <w:pStyle w:val="Heading3"/>
      </w:pPr>
      <w:r>
        <w:t>2.1.1</w:t>
      </w:r>
      <w:r>
        <w:tab/>
      </w:r>
      <w:r w:rsidR="00F60395">
        <w:t>Process hygiene criteria</w:t>
      </w:r>
    </w:p>
    <w:p w14:paraId="53DCCB5D" w14:textId="19DCBDE8" w:rsidR="00F60395" w:rsidRDefault="00F60395" w:rsidP="00F60395">
      <w:pPr>
        <w:rPr>
          <w:szCs w:val="20"/>
        </w:rPr>
      </w:pPr>
      <w:r w:rsidRPr="00DD79E5">
        <w:rPr>
          <w:szCs w:val="20"/>
        </w:rPr>
        <w:t xml:space="preserve">Testing for Enterobacteriacea and </w:t>
      </w:r>
      <w:r>
        <w:rPr>
          <w:szCs w:val="20"/>
        </w:rPr>
        <w:t>Mesophilic Aerobic Bacteria</w:t>
      </w:r>
      <w:r w:rsidRPr="00DD79E5">
        <w:rPr>
          <w:szCs w:val="20"/>
        </w:rPr>
        <w:t xml:space="preserve"> is </w:t>
      </w:r>
      <w:r>
        <w:rPr>
          <w:szCs w:val="20"/>
        </w:rPr>
        <w:t>useful</w:t>
      </w:r>
      <w:r w:rsidRPr="00DD79E5">
        <w:rPr>
          <w:szCs w:val="20"/>
        </w:rPr>
        <w:t xml:space="preserve"> to verify that the hygiene measures in place </w:t>
      </w:r>
      <w:r>
        <w:rPr>
          <w:szCs w:val="20"/>
        </w:rPr>
        <w:t xml:space="preserve">within a manufacturing facility </w:t>
      </w:r>
      <w:r w:rsidRPr="00DD79E5">
        <w:rPr>
          <w:szCs w:val="20"/>
        </w:rPr>
        <w:t>are working</w:t>
      </w:r>
      <w:r>
        <w:rPr>
          <w:szCs w:val="20"/>
        </w:rPr>
        <w:t xml:space="preserve"> as intended. </w:t>
      </w:r>
      <w:r w:rsidRPr="00DD79E5">
        <w:rPr>
          <w:szCs w:val="20"/>
        </w:rPr>
        <w:t xml:space="preserve">This </w:t>
      </w:r>
      <w:r>
        <w:rPr>
          <w:szCs w:val="20"/>
        </w:rPr>
        <w:t>provides assurance that</w:t>
      </w:r>
      <w:r w:rsidRPr="00DD79E5">
        <w:rPr>
          <w:szCs w:val="20"/>
        </w:rPr>
        <w:t xml:space="preserve"> the potential for</w:t>
      </w:r>
      <w:r w:rsidR="00EA7F8E">
        <w:rPr>
          <w:szCs w:val="20"/>
        </w:rPr>
        <w:t xml:space="preserve"> pathogens such as</w:t>
      </w:r>
      <w:r w:rsidRPr="00DD79E5">
        <w:rPr>
          <w:szCs w:val="20"/>
        </w:rPr>
        <w:t xml:space="preserve"> </w:t>
      </w:r>
      <w:r w:rsidRPr="00DD79E5">
        <w:rPr>
          <w:i/>
          <w:szCs w:val="20"/>
        </w:rPr>
        <w:t>Salmonella</w:t>
      </w:r>
      <w:r w:rsidRPr="00DD79E5">
        <w:rPr>
          <w:szCs w:val="20"/>
        </w:rPr>
        <w:t xml:space="preserve"> and </w:t>
      </w:r>
      <w:r>
        <w:rPr>
          <w:i/>
          <w:szCs w:val="20"/>
        </w:rPr>
        <w:t>Cronobacter</w:t>
      </w:r>
      <w:r w:rsidRPr="00DD79E5">
        <w:rPr>
          <w:szCs w:val="20"/>
        </w:rPr>
        <w:t xml:space="preserve"> to be in the processing environment and to cross-contaminate infant formula products</w:t>
      </w:r>
      <w:r>
        <w:rPr>
          <w:szCs w:val="20"/>
        </w:rPr>
        <w:t xml:space="preserve"> is being controlled</w:t>
      </w:r>
      <w:r w:rsidRPr="00DD79E5">
        <w:rPr>
          <w:szCs w:val="20"/>
        </w:rPr>
        <w:t>.</w:t>
      </w:r>
      <w:r>
        <w:rPr>
          <w:szCs w:val="20"/>
        </w:rPr>
        <w:t xml:space="preserve"> </w:t>
      </w:r>
    </w:p>
    <w:p w14:paraId="58728D7F" w14:textId="77777777" w:rsidR="00F60395" w:rsidRDefault="00F60395" w:rsidP="00F60395">
      <w:pPr>
        <w:rPr>
          <w:szCs w:val="20"/>
        </w:rPr>
      </w:pPr>
    </w:p>
    <w:p w14:paraId="3DAB2265" w14:textId="77777777" w:rsidR="00F60395" w:rsidRDefault="00F60395" w:rsidP="00F60395">
      <w:pPr>
        <w:autoSpaceDE w:val="0"/>
        <w:autoSpaceDN w:val="0"/>
        <w:adjustRightInd w:val="0"/>
        <w:rPr>
          <w:szCs w:val="20"/>
        </w:rPr>
      </w:pPr>
      <w:r>
        <w:rPr>
          <w:szCs w:val="20"/>
        </w:rPr>
        <w:t>Process hygiene criteria for Enterobacteriaceae and MAB in powdered infant formula products are provided below.</w:t>
      </w:r>
    </w:p>
    <w:p w14:paraId="69534DB0" w14:textId="77777777" w:rsidR="00F60395" w:rsidRDefault="00F60395" w:rsidP="00F60395">
      <w:pPr>
        <w:autoSpaceDE w:val="0"/>
        <w:autoSpaceDN w:val="0"/>
        <w:adjustRightInd w:val="0"/>
        <w:rPr>
          <w:szCs w:val="20"/>
        </w:rPr>
      </w:pPr>
    </w:p>
    <w:tbl>
      <w:tblPr>
        <w:tblStyle w:val="TableGrid"/>
        <w:tblW w:w="0" w:type="auto"/>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510"/>
        <w:gridCol w:w="1276"/>
        <w:gridCol w:w="1276"/>
        <w:gridCol w:w="1417"/>
        <w:gridCol w:w="1276"/>
      </w:tblGrid>
      <w:tr w:rsidR="00F60395" w14:paraId="445C694D" w14:textId="77777777" w:rsidTr="00AC12CD">
        <w:tc>
          <w:tcPr>
            <w:tcW w:w="3510" w:type="dxa"/>
          </w:tcPr>
          <w:p w14:paraId="3BD84057" w14:textId="77777777" w:rsidR="00F60395" w:rsidRPr="008528DB" w:rsidRDefault="00F60395" w:rsidP="00AC12CD">
            <w:pPr>
              <w:autoSpaceDE w:val="0"/>
              <w:autoSpaceDN w:val="0"/>
              <w:adjustRightInd w:val="0"/>
              <w:spacing w:before="120" w:after="120"/>
              <w:rPr>
                <w:b/>
              </w:rPr>
            </w:pPr>
            <w:r w:rsidRPr="008528DB">
              <w:rPr>
                <w:b/>
              </w:rPr>
              <w:t>Powdered Infant formula products</w:t>
            </w:r>
          </w:p>
        </w:tc>
        <w:tc>
          <w:tcPr>
            <w:tcW w:w="1276" w:type="dxa"/>
          </w:tcPr>
          <w:p w14:paraId="7229168E" w14:textId="77777777" w:rsidR="00F60395" w:rsidRPr="008528DB" w:rsidRDefault="00F60395" w:rsidP="00AC12CD">
            <w:pPr>
              <w:autoSpaceDE w:val="0"/>
              <w:autoSpaceDN w:val="0"/>
              <w:adjustRightInd w:val="0"/>
              <w:spacing w:before="120" w:after="120"/>
              <w:jc w:val="center"/>
              <w:rPr>
                <w:b/>
              </w:rPr>
            </w:pPr>
            <w:r w:rsidRPr="008528DB">
              <w:rPr>
                <w:b/>
              </w:rPr>
              <w:t>(n)</w:t>
            </w:r>
          </w:p>
        </w:tc>
        <w:tc>
          <w:tcPr>
            <w:tcW w:w="1276" w:type="dxa"/>
          </w:tcPr>
          <w:p w14:paraId="2D533455" w14:textId="77777777" w:rsidR="00F60395" w:rsidRPr="008528DB" w:rsidRDefault="00F60395" w:rsidP="00AC12CD">
            <w:pPr>
              <w:autoSpaceDE w:val="0"/>
              <w:autoSpaceDN w:val="0"/>
              <w:adjustRightInd w:val="0"/>
              <w:spacing w:before="120" w:after="120"/>
              <w:jc w:val="center"/>
              <w:rPr>
                <w:b/>
              </w:rPr>
            </w:pPr>
            <w:r w:rsidRPr="008528DB">
              <w:rPr>
                <w:b/>
              </w:rPr>
              <w:t>(c)</w:t>
            </w:r>
          </w:p>
        </w:tc>
        <w:tc>
          <w:tcPr>
            <w:tcW w:w="1417" w:type="dxa"/>
          </w:tcPr>
          <w:p w14:paraId="6C0B662F" w14:textId="77777777" w:rsidR="00F60395" w:rsidRPr="008528DB" w:rsidRDefault="00F60395" w:rsidP="00AC12CD">
            <w:pPr>
              <w:autoSpaceDE w:val="0"/>
              <w:autoSpaceDN w:val="0"/>
              <w:adjustRightInd w:val="0"/>
              <w:spacing w:before="120" w:after="120"/>
              <w:jc w:val="center"/>
              <w:rPr>
                <w:b/>
              </w:rPr>
            </w:pPr>
            <w:r w:rsidRPr="008528DB">
              <w:rPr>
                <w:b/>
              </w:rPr>
              <w:t>(m)</w:t>
            </w:r>
          </w:p>
        </w:tc>
        <w:tc>
          <w:tcPr>
            <w:tcW w:w="1276" w:type="dxa"/>
          </w:tcPr>
          <w:p w14:paraId="0C5C19F4" w14:textId="77777777" w:rsidR="00F60395" w:rsidRPr="008528DB" w:rsidRDefault="00F60395" w:rsidP="00AC12CD">
            <w:pPr>
              <w:autoSpaceDE w:val="0"/>
              <w:autoSpaceDN w:val="0"/>
              <w:adjustRightInd w:val="0"/>
              <w:spacing w:before="120" w:after="120"/>
              <w:jc w:val="center"/>
              <w:rPr>
                <w:b/>
              </w:rPr>
            </w:pPr>
            <w:r w:rsidRPr="008528DB">
              <w:rPr>
                <w:b/>
              </w:rPr>
              <w:t>(M)</w:t>
            </w:r>
          </w:p>
        </w:tc>
      </w:tr>
      <w:tr w:rsidR="00F60395" w14:paraId="6F5B1D68" w14:textId="77777777" w:rsidTr="00AC12CD">
        <w:tc>
          <w:tcPr>
            <w:tcW w:w="3510" w:type="dxa"/>
          </w:tcPr>
          <w:p w14:paraId="284089A3" w14:textId="77777777" w:rsidR="00F60395" w:rsidRDefault="00F60395" w:rsidP="00AC12CD">
            <w:pPr>
              <w:autoSpaceDE w:val="0"/>
              <w:autoSpaceDN w:val="0"/>
              <w:adjustRightInd w:val="0"/>
              <w:spacing w:before="120" w:after="120"/>
            </w:pPr>
            <w:r>
              <w:t>Mesophilic Aerobic Bacteria</w:t>
            </w:r>
          </w:p>
        </w:tc>
        <w:tc>
          <w:tcPr>
            <w:tcW w:w="1276" w:type="dxa"/>
          </w:tcPr>
          <w:p w14:paraId="4EED03D0" w14:textId="77777777" w:rsidR="00F60395" w:rsidRDefault="00F60395" w:rsidP="00AC12CD">
            <w:pPr>
              <w:autoSpaceDE w:val="0"/>
              <w:autoSpaceDN w:val="0"/>
              <w:adjustRightInd w:val="0"/>
              <w:spacing w:before="120" w:after="120"/>
              <w:jc w:val="center"/>
            </w:pPr>
            <w:r>
              <w:t>5</w:t>
            </w:r>
          </w:p>
        </w:tc>
        <w:tc>
          <w:tcPr>
            <w:tcW w:w="1276" w:type="dxa"/>
          </w:tcPr>
          <w:p w14:paraId="75B814FB" w14:textId="77777777" w:rsidR="00F60395" w:rsidRDefault="00F60395" w:rsidP="00AC12CD">
            <w:pPr>
              <w:autoSpaceDE w:val="0"/>
              <w:autoSpaceDN w:val="0"/>
              <w:adjustRightInd w:val="0"/>
              <w:spacing w:before="120" w:after="120"/>
              <w:jc w:val="center"/>
            </w:pPr>
            <w:r>
              <w:t>2</w:t>
            </w:r>
          </w:p>
        </w:tc>
        <w:tc>
          <w:tcPr>
            <w:tcW w:w="1417" w:type="dxa"/>
          </w:tcPr>
          <w:p w14:paraId="3209D9E5" w14:textId="77777777" w:rsidR="00F60395" w:rsidRDefault="00F60395" w:rsidP="00AC12CD">
            <w:pPr>
              <w:autoSpaceDE w:val="0"/>
              <w:autoSpaceDN w:val="0"/>
              <w:adjustRightInd w:val="0"/>
              <w:spacing w:before="120" w:after="120"/>
              <w:jc w:val="center"/>
            </w:pPr>
            <w:r>
              <w:t>500/g</w:t>
            </w:r>
          </w:p>
        </w:tc>
        <w:tc>
          <w:tcPr>
            <w:tcW w:w="1276" w:type="dxa"/>
          </w:tcPr>
          <w:p w14:paraId="3EF8F1A5" w14:textId="77777777" w:rsidR="00F60395" w:rsidRDefault="00F60395" w:rsidP="00AC12CD">
            <w:pPr>
              <w:autoSpaceDE w:val="0"/>
              <w:autoSpaceDN w:val="0"/>
              <w:adjustRightInd w:val="0"/>
              <w:spacing w:before="120" w:after="120"/>
              <w:jc w:val="center"/>
            </w:pPr>
            <w:r>
              <w:t>5000/g</w:t>
            </w:r>
          </w:p>
        </w:tc>
      </w:tr>
      <w:tr w:rsidR="00F60395" w14:paraId="623ECC32" w14:textId="77777777" w:rsidTr="00AC12CD">
        <w:tc>
          <w:tcPr>
            <w:tcW w:w="3510" w:type="dxa"/>
          </w:tcPr>
          <w:p w14:paraId="15841027" w14:textId="77777777" w:rsidR="00F60395" w:rsidRDefault="00F60395" w:rsidP="00AC12CD">
            <w:pPr>
              <w:autoSpaceDE w:val="0"/>
              <w:autoSpaceDN w:val="0"/>
              <w:adjustRightInd w:val="0"/>
              <w:spacing w:before="120" w:after="120"/>
            </w:pPr>
            <w:r>
              <w:t>Enterobacteriaceae</w:t>
            </w:r>
          </w:p>
        </w:tc>
        <w:tc>
          <w:tcPr>
            <w:tcW w:w="1276" w:type="dxa"/>
          </w:tcPr>
          <w:p w14:paraId="066C54E7" w14:textId="77777777" w:rsidR="00F60395" w:rsidRDefault="00F60395" w:rsidP="00AC12CD">
            <w:pPr>
              <w:autoSpaceDE w:val="0"/>
              <w:autoSpaceDN w:val="0"/>
              <w:adjustRightInd w:val="0"/>
              <w:spacing w:before="120" w:after="120"/>
              <w:jc w:val="center"/>
            </w:pPr>
            <w:r>
              <w:t>5</w:t>
            </w:r>
          </w:p>
        </w:tc>
        <w:tc>
          <w:tcPr>
            <w:tcW w:w="1276" w:type="dxa"/>
          </w:tcPr>
          <w:p w14:paraId="0501E642" w14:textId="1E2CED7E" w:rsidR="00F60395" w:rsidRDefault="00A04A5D" w:rsidP="00AC12CD">
            <w:pPr>
              <w:autoSpaceDE w:val="0"/>
              <w:autoSpaceDN w:val="0"/>
              <w:adjustRightInd w:val="0"/>
              <w:spacing w:before="120" w:after="120"/>
              <w:jc w:val="center"/>
            </w:pPr>
            <w:r>
              <w:t>2</w:t>
            </w:r>
          </w:p>
        </w:tc>
        <w:tc>
          <w:tcPr>
            <w:tcW w:w="1417" w:type="dxa"/>
          </w:tcPr>
          <w:p w14:paraId="34EB1844" w14:textId="77777777" w:rsidR="00F60395" w:rsidRDefault="00F60395" w:rsidP="00AC12CD">
            <w:pPr>
              <w:autoSpaceDE w:val="0"/>
              <w:autoSpaceDN w:val="0"/>
              <w:adjustRightInd w:val="0"/>
              <w:spacing w:before="120" w:after="120"/>
              <w:jc w:val="center"/>
            </w:pPr>
            <w:r>
              <w:t>0/10g</w:t>
            </w:r>
          </w:p>
        </w:tc>
        <w:tc>
          <w:tcPr>
            <w:tcW w:w="1276" w:type="dxa"/>
          </w:tcPr>
          <w:p w14:paraId="3A0EBB93" w14:textId="77777777" w:rsidR="00F60395" w:rsidRDefault="00F60395" w:rsidP="00AC12CD">
            <w:pPr>
              <w:autoSpaceDE w:val="0"/>
              <w:autoSpaceDN w:val="0"/>
              <w:adjustRightInd w:val="0"/>
              <w:spacing w:before="120" w:after="120"/>
              <w:jc w:val="center"/>
            </w:pPr>
          </w:p>
        </w:tc>
      </w:tr>
    </w:tbl>
    <w:p w14:paraId="1E2C732E" w14:textId="77777777" w:rsidR="00F60395" w:rsidRDefault="00F60395" w:rsidP="00F60395">
      <w:pPr>
        <w:autoSpaceDE w:val="0"/>
        <w:autoSpaceDN w:val="0"/>
        <w:adjustRightInd w:val="0"/>
        <w:rPr>
          <w:szCs w:val="20"/>
        </w:rPr>
      </w:pPr>
    </w:p>
    <w:p w14:paraId="2A4B7D76" w14:textId="77777777" w:rsidR="00F60395" w:rsidRPr="00175C05" w:rsidRDefault="00F60395" w:rsidP="00F60395">
      <w:pPr>
        <w:rPr>
          <w:iCs/>
          <w:sz w:val="20"/>
          <w:szCs w:val="20"/>
          <w:lang w:val="en-US"/>
        </w:rPr>
      </w:pPr>
      <w:r w:rsidRPr="008528DB">
        <w:rPr>
          <w:b/>
          <w:iCs/>
          <w:sz w:val="20"/>
          <w:szCs w:val="20"/>
          <w:lang w:val="en-US"/>
        </w:rPr>
        <w:t>n</w:t>
      </w:r>
      <w:r w:rsidRPr="00175C05">
        <w:rPr>
          <w:iCs/>
          <w:sz w:val="20"/>
          <w:szCs w:val="20"/>
          <w:lang w:val="en-US"/>
        </w:rPr>
        <w:t xml:space="preserve"> = number of sample units</w:t>
      </w:r>
    </w:p>
    <w:p w14:paraId="2D18D1DD" w14:textId="77777777" w:rsidR="00F60395" w:rsidRPr="00175C05" w:rsidRDefault="00F60395" w:rsidP="00F60395">
      <w:pPr>
        <w:rPr>
          <w:iCs/>
          <w:sz w:val="20"/>
          <w:szCs w:val="20"/>
          <w:lang w:val="en-US"/>
        </w:rPr>
      </w:pPr>
      <w:r w:rsidRPr="008528DB">
        <w:rPr>
          <w:b/>
          <w:iCs/>
          <w:sz w:val="20"/>
          <w:szCs w:val="20"/>
          <w:lang w:val="en-US"/>
        </w:rPr>
        <w:t>c</w:t>
      </w:r>
      <w:r w:rsidRPr="00175C05">
        <w:rPr>
          <w:iCs/>
          <w:sz w:val="20"/>
          <w:szCs w:val="20"/>
          <w:lang w:val="en-US"/>
        </w:rPr>
        <w:t xml:space="preserve"> = the number of sample units allowed to exceed m</w:t>
      </w:r>
    </w:p>
    <w:p w14:paraId="2C37D564" w14:textId="77777777" w:rsidR="00F60395" w:rsidRPr="00175C05" w:rsidRDefault="00F60395" w:rsidP="00F60395">
      <w:pPr>
        <w:rPr>
          <w:iCs/>
          <w:sz w:val="20"/>
          <w:szCs w:val="20"/>
          <w:lang w:val="en-US"/>
        </w:rPr>
      </w:pPr>
      <w:r w:rsidRPr="008528DB">
        <w:rPr>
          <w:b/>
          <w:iCs/>
          <w:sz w:val="20"/>
          <w:szCs w:val="20"/>
          <w:lang w:val="en-US"/>
        </w:rPr>
        <w:t>m</w:t>
      </w:r>
      <w:r w:rsidRPr="00175C05">
        <w:rPr>
          <w:iCs/>
          <w:sz w:val="20"/>
          <w:szCs w:val="20"/>
          <w:lang w:val="en-US"/>
        </w:rPr>
        <w:t xml:space="preserve"> = the acceptable microbiological limit</w:t>
      </w:r>
    </w:p>
    <w:p w14:paraId="75022974" w14:textId="77777777" w:rsidR="00F60395" w:rsidRPr="00175C05" w:rsidRDefault="00F60395" w:rsidP="00F60395">
      <w:pPr>
        <w:rPr>
          <w:iCs/>
          <w:sz w:val="20"/>
          <w:szCs w:val="20"/>
          <w:lang w:val="en-US"/>
        </w:rPr>
      </w:pPr>
      <w:r w:rsidRPr="008528DB">
        <w:rPr>
          <w:b/>
          <w:iCs/>
          <w:sz w:val="20"/>
          <w:szCs w:val="20"/>
          <w:lang w:val="en-US"/>
        </w:rPr>
        <w:t>M</w:t>
      </w:r>
      <w:r w:rsidRPr="00175C05">
        <w:rPr>
          <w:iCs/>
          <w:sz w:val="20"/>
          <w:szCs w:val="20"/>
          <w:lang w:val="en-US"/>
        </w:rPr>
        <w:t xml:space="preserve"> = the limit which must not be exceeded</w:t>
      </w:r>
    </w:p>
    <w:p w14:paraId="6EFD35F5" w14:textId="77777777" w:rsidR="00F60395" w:rsidRPr="00175C05" w:rsidRDefault="00F60395" w:rsidP="00F60395">
      <w:pPr>
        <w:rPr>
          <w:szCs w:val="20"/>
        </w:rPr>
      </w:pPr>
    </w:p>
    <w:p w14:paraId="030BEAB9" w14:textId="77777777" w:rsidR="00F60395" w:rsidRDefault="00F60395" w:rsidP="00F60395">
      <w:pPr>
        <w:autoSpaceDE w:val="0"/>
        <w:autoSpaceDN w:val="0"/>
        <w:adjustRightInd w:val="0"/>
        <w:rPr>
          <w:szCs w:val="20"/>
        </w:rPr>
      </w:pPr>
      <w:r>
        <w:rPr>
          <w:szCs w:val="20"/>
        </w:rPr>
        <w:t xml:space="preserve">These process hygiene criteria apply to the finished product or at any other point in manufacture that provides the information necessary to verify process control. </w:t>
      </w:r>
      <w:r w:rsidRPr="00016A31">
        <w:rPr>
          <w:szCs w:val="20"/>
        </w:rPr>
        <w:t>They are intended to be used by the manufacturer as a means of ongoing assessment of their hygiene programs</w:t>
      </w:r>
      <w:r>
        <w:rPr>
          <w:szCs w:val="20"/>
        </w:rPr>
        <w:t>.</w:t>
      </w:r>
    </w:p>
    <w:p w14:paraId="7B387247" w14:textId="77777777" w:rsidR="00F60395" w:rsidRDefault="00F60395" w:rsidP="00F60395">
      <w:pPr>
        <w:rPr>
          <w:szCs w:val="20"/>
        </w:rPr>
      </w:pPr>
    </w:p>
    <w:p w14:paraId="3F84FB0B" w14:textId="77777777" w:rsidR="00F60395" w:rsidRDefault="00F60395" w:rsidP="00F60395">
      <w:pPr>
        <w:rPr>
          <w:szCs w:val="20"/>
        </w:rPr>
      </w:pPr>
      <w:r w:rsidRPr="00DD79E5">
        <w:rPr>
          <w:szCs w:val="20"/>
        </w:rPr>
        <w:t xml:space="preserve">Failure to </w:t>
      </w:r>
      <w:r>
        <w:rPr>
          <w:szCs w:val="20"/>
        </w:rPr>
        <w:t xml:space="preserve">consistently </w:t>
      </w:r>
      <w:r w:rsidRPr="00DD79E5">
        <w:rPr>
          <w:szCs w:val="20"/>
        </w:rPr>
        <w:t xml:space="preserve">meet </w:t>
      </w:r>
      <w:r>
        <w:rPr>
          <w:szCs w:val="20"/>
        </w:rPr>
        <w:t>criteria for Enterobacteriacea may</w:t>
      </w:r>
      <w:r w:rsidRPr="00DD79E5">
        <w:rPr>
          <w:szCs w:val="20"/>
        </w:rPr>
        <w:t xml:space="preserve"> be a trigger to examine environmental and process hygiene controls and to</w:t>
      </w:r>
      <w:r>
        <w:rPr>
          <w:szCs w:val="20"/>
        </w:rPr>
        <w:t xml:space="preserve"> evaluate product safety through</w:t>
      </w:r>
      <w:r w:rsidRPr="00DD79E5">
        <w:rPr>
          <w:szCs w:val="20"/>
        </w:rPr>
        <w:t xml:space="preserve"> increase</w:t>
      </w:r>
      <w:r>
        <w:rPr>
          <w:szCs w:val="20"/>
        </w:rPr>
        <w:t>d</w:t>
      </w:r>
      <w:r w:rsidRPr="00DD79E5">
        <w:rPr>
          <w:szCs w:val="20"/>
        </w:rPr>
        <w:t xml:space="preserve"> sampling </w:t>
      </w:r>
      <w:r>
        <w:rPr>
          <w:szCs w:val="20"/>
        </w:rPr>
        <w:t xml:space="preserve">of final product for </w:t>
      </w:r>
      <w:r w:rsidRPr="0030445E">
        <w:rPr>
          <w:i/>
          <w:szCs w:val="20"/>
        </w:rPr>
        <w:t>Cronobacter</w:t>
      </w:r>
      <w:r>
        <w:rPr>
          <w:szCs w:val="20"/>
        </w:rPr>
        <w:t xml:space="preserve"> and </w:t>
      </w:r>
      <w:r w:rsidRPr="0030445E">
        <w:rPr>
          <w:i/>
          <w:szCs w:val="20"/>
        </w:rPr>
        <w:t>Salmonella</w:t>
      </w:r>
      <w:r>
        <w:rPr>
          <w:szCs w:val="20"/>
        </w:rPr>
        <w:t xml:space="preserve">. </w:t>
      </w:r>
    </w:p>
    <w:p w14:paraId="6B9F98F4" w14:textId="77777777" w:rsidR="00F60395" w:rsidRDefault="00F60395" w:rsidP="00F60395"/>
    <w:p w14:paraId="52ED696B" w14:textId="77777777" w:rsidR="00FC309A" w:rsidRDefault="00FC309A" w:rsidP="00F60395">
      <w:r>
        <w:br w:type="page"/>
      </w:r>
    </w:p>
    <w:p w14:paraId="64BBBF2D" w14:textId="10ACDED6" w:rsidR="00F60395" w:rsidRDefault="00F60395" w:rsidP="00F60395">
      <w:r w:rsidRPr="00410A57">
        <w:lastRenderedPageBreak/>
        <w:t>Mesophilic aerobic</w:t>
      </w:r>
      <w:r>
        <w:t xml:space="preserve"> </w:t>
      </w:r>
      <w:r w:rsidR="00A04A5D">
        <w:t xml:space="preserve">bacteria </w:t>
      </w:r>
      <w:r w:rsidRPr="00410A57">
        <w:t xml:space="preserve">counts provide useful indications on the hygienic status of wet processing steps. </w:t>
      </w:r>
      <w:r>
        <w:t>A trend in counts</w:t>
      </w:r>
      <w:r w:rsidRPr="00410A57">
        <w:t xml:space="preserve"> </w:t>
      </w:r>
      <w:r>
        <w:t>above</w:t>
      </w:r>
      <w:r w:rsidRPr="00410A57">
        <w:t xml:space="preserve"> the</w:t>
      </w:r>
      <w:r>
        <w:t xml:space="preserve"> </w:t>
      </w:r>
      <w:r w:rsidRPr="00410A57">
        <w:t xml:space="preserve">recommended limits </w:t>
      </w:r>
      <w:r>
        <w:t>may be</w:t>
      </w:r>
      <w:r w:rsidRPr="00410A57">
        <w:t xml:space="preserve"> indicative of build-up of bacteria in equipment such as evaporators or</w:t>
      </w:r>
      <w:r>
        <w:t xml:space="preserve"> </w:t>
      </w:r>
      <w:r w:rsidRPr="00410A57">
        <w:t xml:space="preserve">contamination due to leaks in plate-heat exchangers </w:t>
      </w:r>
      <w:r>
        <w:t>(Codex, 2008).</w:t>
      </w:r>
    </w:p>
    <w:p w14:paraId="1D2E680D" w14:textId="0386581F" w:rsidR="00044550" w:rsidRPr="00E8575E" w:rsidRDefault="00044550" w:rsidP="00FC309A">
      <w:pPr>
        <w:pStyle w:val="Heading2"/>
      </w:pPr>
      <w:r w:rsidRPr="00E8575E">
        <w:t>References</w:t>
      </w:r>
    </w:p>
    <w:p w14:paraId="4387E20A" w14:textId="77777777" w:rsidR="00044550" w:rsidRPr="0095379E" w:rsidRDefault="00044550" w:rsidP="00044550">
      <w:pPr>
        <w:rPr>
          <w:rFonts w:cs="Arial"/>
          <w:sz w:val="20"/>
          <w:szCs w:val="20"/>
          <w:lang w:eastAsia="en-AU" w:bidi="ar-SA"/>
        </w:rPr>
      </w:pPr>
      <w:r w:rsidRPr="0095379E">
        <w:rPr>
          <w:rFonts w:cs="Arial"/>
          <w:sz w:val="20"/>
          <w:szCs w:val="20"/>
          <w:lang w:eastAsia="en-AU" w:bidi="ar-SA"/>
        </w:rPr>
        <w:t xml:space="preserve">Codex (2008) </w:t>
      </w:r>
      <w:r w:rsidRPr="0095379E">
        <w:rPr>
          <w:rFonts w:cs="Arial"/>
          <w:i/>
          <w:sz w:val="20"/>
          <w:szCs w:val="20"/>
          <w:lang w:eastAsia="en-AU" w:bidi="ar-SA"/>
        </w:rPr>
        <w:t>Code of hygienic practice for powdered infant formulae for infants and young children</w:t>
      </w:r>
      <w:r w:rsidRPr="0095379E">
        <w:rPr>
          <w:rFonts w:cs="Arial"/>
          <w:sz w:val="20"/>
          <w:szCs w:val="20"/>
          <w:lang w:eastAsia="en-AU" w:bidi="ar-SA"/>
        </w:rPr>
        <w:t xml:space="preserve"> (CAC/RCP 66 – 2008), </w:t>
      </w:r>
      <w:hyperlink r:id="rId18" w:history="1">
        <w:r w:rsidRPr="0095379E">
          <w:rPr>
            <w:rStyle w:val="Hyperlink"/>
            <w:rFonts w:cs="Arial"/>
            <w:sz w:val="20"/>
            <w:szCs w:val="20"/>
            <w:lang w:eastAsia="en-AU" w:bidi="ar-SA"/>
          </w:rPr>
          <w:t>http://www.codexalimentarius.org/standards/list-standards/en/?no_cache=1</w:t>
        </w:r>
      </w:hyperlink>
      <w:r w:rsidRPr="0095379E">
        <w:rPr>
          <w:rFonts w:cs="Arial"/>
          <w:sz w:val="20"/>
          <w:szCs w:val="20"/>
          <w:lang w:eastAsia="en-AU" w:bidi="ar-SA"/>
        </w:rPr>
        <w:t xml:space="preserve"> accessed 28 July 2015.</w:t>
      </w:r>
    </w:p>
    <w:p w14:paraId="0467C0D6" w14:textId="77777777" w:rsidR="00044550" w:rsidRPr="00F60395" w:rsidRDefault="00044550" w:rsidP="00F60395">
      <w:bookmarkStart w:id="0" w:name="_GoBack"/>
      <w:bookmarkEnd w:id="0"/>
    </w:p>
    <w:sectPr w:rsidR="00044550" w:rsidRPr="00F60395"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6BE95" w14:textId="77777777" w:rsidR="00FD17B8" w:rsidRDefault="00FD17B8">
      <w:r>
        <w:separator/>
      </w:r>
    </w:p>
  </w:endnote>
  <w:endnote w:type="continuationSeparator" w:id="0">
    <w:p w14:paraId="1FA03406" w14:textId="77777777" w:rsidR="00FD17B8" w:rsidRDefault="00FD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98527" w14:textId="77777777" w:rsidR="0006473A" w:rsidRDefault="00F6039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460361" w14:textId="77777777" w:rsidR="0006473A" w:rsidRDefault="00FC30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374E5" w14:textId="77777777" w:rsidR="0006473A" w:rsidRDefault="00F6039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309A">
      <w:rPr>
        <w:rStyle w:val="PageNumber"/>
        <w:noProof/>
      </w:rPr>
      <w:t>3</w:t>
    </w:r>
    <w:r>
      <w:rPr>
        <w:rStyle w:val="PageNumber"/>
      </w:rPr>
      <w:fldChar w:fldCharType="end"/>
    </w:r>
  </w:p>
  <w:p w14:paraId="3F086BA7" w14:textId="77777777" w:rsidR="0006473A" w:rsidRDefault="00FC30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99571" w14:textId="77777777" w:rsidR="00FD17B8" w:rsidRDefault="00FD17B8">
      <w:r>
        <w:separator/>
      </w:r>
    </w:p>
  </w:footnote>
  <w:footnote w:type="continuationSeparator" w:id="0">
    <w:p w14:paraId="5AA9FFCA" w14:textId="77777777" w:rsidR="00FD17B8" w:rsidRDefault="00FD1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D8464" w14:textId="77777777" w:rsidR="0006473A" w:rsidRDefault="00F60395">
    <w:pPr>
      <w:pStyle w:val="Header"/>
      <w:rPr>
        <w:b w:val="0"/>
        <w:bCs/>
      </w:rPr>
    </w:pPr>
    <w:r>
      <w:rPr>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77242"/>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4"/>
  </w:num>
  <w:num w:numId="9">
    <w:abstractNumId w:val="2"/>
  </w:num>
  <w:num w:numId="10">
    <w:abstractNumId w:val="3"/>
  </w:num>
  <w:num w:numId="11">
    <w:abstractNumId w:val="4"/>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23"/>
    <w:rsid w:val="0000542C"/>
    <w:rsid w:val="00041643"/>
    <w:rsid w:val="00044550"/>
    <w:rsid w:val="000622E7"/>
    <w:rsid w:val="00066854"/>
    <w:rsid w:val="00066D85"/>
    <w:rsid w:val="000A38F8"/>
    <w:rsid w:val="000F2196"/>
    <w:rsid w:val="001734EA"/>
    <w:rsid w:val="00184403"/>
    <w:rsid w:val="00191770"/>
    <w:rsid w:val="001A75EF"/>
    <w:rsid w:val="001C5126"/>
    <w:rsid w:val="001E696B"/>
    <w:rsid w:val="002232B1"/>
    <w:rsid w:val="00234C31"/>
    <w:rsid w:val="002605BA"/>
    <w:rsid w:val="002E041D"/>
    <w:rsid w:val="0033021F"/>
    <w:rsid w:val="00341D25"/>
    <w:rsid w:val="003B25C8"/>
    <w:rsid w:val="00404702"/>
    <w:rsid w:val="00441D77"/>
    <w:rsid w:val="00443F05"/>
    <w:rsid w:val="00486619"/>
    <w:rsid w:val="004D3868"/>
    <w:rsid w:val="004E6694"/>
    <w:rsid w:val="00531AD9"/>
    <w:rsid w:val="00533BE5"/>
    <w:rsid w:val="0054036E"/>
    <w:rsid w:val="005A7C79"/>
    <w:rsid w:val="005B578D"/>
    <w:rsid w:val="005C1996"/>
    <w:rsid w:val="005F640E"/>
    <w:rsid w:val="006B6900"/>
    <w:rsid w:val="006D473E"/>
    <w:rsid w:val="0077026B"/>
    <w:rsid w:val="00793DE6"/>
    <w:rsid w:val="007F6456"/>
    <w:rsid w:val="00830393"/>
    <w:rsid w:val="00833D5A"/>
    <w:rsid w:val="00860EE7"/>
    <w:rsid w:val="00877A81"/>
    <w:rsid w:val="008931F6"/>
    <w:rsid w:val="008E2339"/>
    <w:rsid w:val="00935023"/>
    <w:rsid w:val="009806A5"/>
    <w:rsid w:val="009E265A"/>
    <w:rsid w:val="00A04A5D"/>
    <w:rsid w:val="00A25B29"/>
    <w:rsid w:val="00A26F82"/>
    <w:rsid w:val="00AD4084"/>
    <w:rsid w:val="00B13E9D"/>
    <w:rsid w:val="00B53154"/>
    <w:rsid w:val="00BC2133"/>
    <w:rsid w:val="00BE4F3A"/>
    <w:rsid w:val="00C019A6"/>
    <w:rsid w:val="00C572A2"/>
    <w:rsid w:val="00D3066B"/>
    <w:rsid w:val="00D5526B"/>
    <w:rsid w:val="00D66962"/>
    <w:rsid w:val="00D87D9C"/>
    <w:rsid w:val="00D92B3B"/>
    <w:rsid w:val="00DA7DED"/>
    <w:rsid w:val="00DD0223"/>
    <w:rsid w:val="00DF4A30"/>
    <w:rsid w:val="00E0050C"/>
    <w:rsid w:val="00E2450C"/>
    <w:rsid w:val="00E24517"/>
    <w:rsid w:val="00E340B5"/>
    <w:rsid w:val="00E4001E"/>
    <w:rsid w:val="00E53ACA"/>
    <w:rsid w:val="00E8575E"/>
    <w:rsid w:val="00E9409E"/>
    <w:rsid w:val="00EA7F8E"/>
    <w:rsid w:val="00EE2D33"/>
    <w:rsid w:val="00F4105E"/>
    <w:rsid w:val="00F47371"/>
    <w:rsid w:val="00F50BFC"/>
    <w:rsid w:val="00F60395"/>
    <w:rsid w:val="00F616DA"/>
    <w:rsid w:val="00F76F95"/>
    <w:rsid w:val="00FB452E"/>
    <w:rsid w:val="00FC309A"/>
    <w:rsid w:val="00FD17B8"/>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F60395"/>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FC309A"/>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FC309A"/>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FC309A"/>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FC309A"/>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FC309A"/>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numPr>
        <w:ilvl w:val="5"/>
        <w:numId w:val="14"/>
      </w:numPr>
      <w:spacing w:before="200"/>
      <w:outlineLvl w:val="5"/>
    </w:pPr>
    <w:rPr>
      <w:rFonts w:asciiTheme="majorHAnsi" w:eastAsiaTheme="majorEastAsia" w:hAnsiTheme="majorHAnsi" w:cstheme="majorBidi"/>
      <w:i/>
      <w:iCs/>
      <w:color w:val="243F60" w:themeColor="accent1" w:themeShade="7F"/>
      <w:szCs w:val="22"/>
      <w:lang w:bidi="ar-SA"/>
    </w:rPr>
  </w:style>
  <w:style w:type="paragraph" w:styleId="Heading7">
    <w:name w:val="heading 7"/>
    <w:basedOn w:val="Normal"/>
    <w:next w:val="Normal"/>
    <w:link w:val="Heading7Char"/>
    <w:uiPriority w:val="9"/>
    <w:semiHidden/>
    <w:unhideWhenUsed/>
    <w:rsid w:val="00533BE5"/>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3BE5"/>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33BE5"/>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FC309A"/>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FC309A"/>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FC309A"/>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FC309A"/>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FC309A"/>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table" w:styleId="TableGrid">
    <w:name w:val="Table Grid"/>
    <w:basedOn w:val="TableNormal"/>
    <w:uiPriority w:val="59"/>
    <w:rsid w:val="00DD0223"/>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itle">
    <w:name w:val="FS Title"/>
    <w:basedOn w:val="Normal"/>
    <w:qFormat/>
    <w:rsid w:val="00F60395"/>
    <w:rPr>
      <w:rFonts w:cs="Tahoma"/>
      <w:bCs/>
      <w:sz w:val="32"/>
    </w:rPr>
  </w:style>
  <w:style w:type="character" w:styleId="PageNumber">
    <w:name w:val="page number"/>
    <w:basedOn w:val="DefaultParagraphFont"/>
    <w:rsid w:val="00F60395"/>
    <w:rPr>
      <w:rFonts w:ascii="Arial" w:hAnsi="Arial"/>
    </w:rPr>
  </w:style>
  <w:style w:type="character" w:styleId="CommentReference">
    <w:name w:val="annotation reference"/>
    <w:basedOn w:val="DefaultParagraphFont"/>
    <w:rsid w:val="00F60395"/>
    <w:rPr>
      <w:sz w:val="16"/>
      <w:szCs w:val="16"/>
    </w:rPr>
  </w:style>
  <w:style w:type="paragraph" w:styleId="CommentText">
    <w:name w:val="annotation text"/>
    <w:basedOn w:val="Normal"/>
    <w:link w:val="CommentTextChar"/>
    <w:rsid w:val="00F60395"/>
    <w:rPr>
      <w:sz w:val="20"/>
      <w:szCs w:val="20"/>
    </w:rPr>
  </w:style>
  <w:style w:type="character" w:customStyle="1" w:styleId="CommentTextChar">
    <w:name w:val="Comment Text Char"/>
    <w:basedOn w:val="DefaultParagraphFont"/>
    <w:link w:val="CommentText"/>
    <w:rsid w:val="00F60395"/>
    <w:rPr>
      <w:rFonts w:eastAsia="Times New Roman" w:cs="Times New Roman"/>
      <w:sz w:val="20"/>
      <w:szCs w:val="20"/>
      <w:lang w:val="en-GB" w:bidi="en-US"/>
    </w:rPr>
  </w:style>
  <w:style w:type="paragraph" w:styleId="BalloonText">
    <w:name w:val="Balloon Text"/>
    <w:basedOn w:val="Normal"/>
    <w:link w:val="BalloonTextChar"/>
    <w:uiPriority w:val="99"/>
    <w:semiHidden/>
    <w:unhideWhenUsed/>
    <w:rsid w:val="00F60395"/>
    <w:rPr>
      <w:rFonts w:ascii="Tahoma" w:hAnsi="Tahoma" w:cs="Tahoma"/>
      <w:sz w:val="16"/>
      <w:szCs w:val="16"/>
    </w:rPr>
  </w:style>
  <w:style w:type="character" w:customStyle="1" w:styleId="BalloonTextChar">
    <w:name w:val="Balloon Text Char"/>
    <w:basedOn w:val="DefaultParagraphFont"/>
    <w:link w:val="BalloonText"/>
    <w:uiPriority w:val="99"/>
    <w:semiHidden/>
    <w:rsid w:val="00F60395"/>
    <w:rPr>
      <w:rFonts w:ascii="Tahoma" w:eastAsia="Times New Roman" w:hAnsi="Tahoma" w:cs="Tahoma"/>
      <w:sz w:val="16"/>
      <w:szCs w:val="16"/>
      <w:lang w:val="en-GB" w:bidi="en-US"/>
    </w:rPr>
  </w:style>
  <w:style w:type="character" w:customStyle="1" w:styleId="Heading7Char">
    <w:name w:val="Heading 7 Char"/>
    <w:basedOn w:val="DefaultParagraphFont"/>
    <w:link w:val="Heading7"/>
    <w:uiPriority w:val="9"/>
    <w:semiHidden/>
    <w:rsid w:val="00533BE5"/>
    <w:rPr>
      <w:rFonts w:asciiTheme="majorHAnsi" w:eastAsiaTheme="majorEastAsia" w:hAnsiTheme="majorHAnsi" w:cstheme="majorBidi"/>
      <w:i/>
      <w:iCs/>
      <w:color w:val="404040" w:themeColor="text1" w:themeTint="BF"/>
      <w:szCs w:val="24"/>
      <w:lang w:val="en-GB" w:bidi="en-US"/>
    </w:rPr>
  </w:style>
  <w:style w:type="character" w:customStyle="1" w:styleId="Heading8Char">
    <w:name w:val="Heading 8 Char"/>
    <w:basedOn w:val="DefaultParagraphFont"/>
    <w:link w:val="Heading8"/>
    <w:uiPriority w:val="9"/>
    <w:semiHidden/>
    <w:rsid w:val="00533BE5"/>
    <w:rPr>
      <w:rFonts w:asciiTheme="majorHAnsi" w:eastAsiaTheme="majorEastAsia" w:hAnsiTheme="majorHAnsi" w:cstheme="majorBidi"/>
      <w:color w:val="404040" w:themeColor="text1" w:themeTint="BF"/>
      <w:sz w:val="20"/>
      <w:szCs w:val="20"/>
      <w:lang w:val="en-GB" w:bidi="en-US"/>
    </w:rPr>
  </w:style>
  <w:style w:type="character" w:customStyle="1" w:styleId="Heading9Char">
    <w:name w:val="Heading 9 Char"/>
    <w:basedOn w:val="DefaultParagraphFont"/>
    <w:link w:val="Heading9"/>
    <w:uiPriority w:val="9"/>
    <w:semiHidden/>
    <w:rsid w:val="00533BE5"/>
    <w:rPr>
      <w:rFonts w:asciiTheme="majorHAnsi" w:eastAsiaTheme="majorEastAsia" w:hAnsiTheme="majorHAnsi" w:cstheme="majorBidi"/>
      <w:i/>
      <w:iCs/>
      <w:color w:val="404040" w:themeColor="text1" w:themeTint="BF"/>
      <w:sz w:val="20"/>
      <w:szCs w:val="20"/>
      <w:lang w:val="en-GB" w:bidi="en-US"/>
    </w:rPr>
  </w:style>
  <w:style w:type="paragraph" w:styleId="CommentSubject">
    <w:name w:val="annotation subject"/>
    <w:basedOn w:val="CommentText"/>
    <w:next w:val="CommentText"/>
    <w:link w:val="CommentSubjectChar"/>
    <w:uiPriority w:val="99"/>
    <w:semiHidden/>
    <w:unhideWhenUsed/>
    <w:rsid w:val="00EA7F8E"/>
    <w:rPr>
      <w:b/>
      <w:bCs/>
    </w:rPr>
  </w:style>
  <w:style w:type="character" w:customStyle="1" w:styleId="CommentSubjectChar">
    <w:name w:val="Comment Subject Char"/>
    <w:basedOn w:val="CommentTextChar"/>
    <w:link w:val="CommentSubject"/>
    <w:uiPriority w:val="99"/>
    <w:semiHidden/>
    <w:rsid w:val="00EA7F8E"/>
    <w:rPr>
      <w:rFonts w:eastAsia="Times New Roman" w:cs="Times New Roman"/>
      <w:b/>
      <w:bCs/>
      <w:sz w:val="20"/>
      <w:szCs w:val="20"/>
      <w:lang w:val="en-GB" w:bidi="en-US"/>
    </w:rPr>
  </w:style>
  <w:style w:type="character" w:styleId="Hyperlink">
    <w:name w:val="Hyperlink"/>
    <w:basedOn w:val="DefaultParagraphFont"/>
    <w:uiPriority w:val="99"/>
    <w:rsid w:val="00044550"/>
    <w:rPr>
      <w:rFonts w:ascii="Arial" w:hAnsi="Arial"/>
      <w:color w:val="3333FF"/>
      <w:u w:val="single"/>
    </w:rPr>
  </w:style>
  <w:style w:type="paragraph" w:styleId="Revision">
    <w:name w:val="Revision"/>
    <w:hidden/>
    <w:uiPriority w:val="99"/>
    <w:semiHidden/>
    <w:rsid w:val="00531AD9"/>
    <w:rPr>
      <w:rFonts w:eastAsia="Times New Roman" w:cs="Times New Roman"/>
      <w:szCs w:val="24"/>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qFormat="1"/>
    <w:lsdException w:name="footer" w:uiPriority="0" w:qFormat="1"/>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F60395"/>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FC309A"/>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FC309A"/>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FC309A"/>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FC309A"/>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FC309A"/>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numPr>
        <w:ilvl w:val="5"/>
        <w:numId w:val="14"/>
      </w:numPr>
      <w:spacing w:before="200"/>
      <w:outlineLvl w:val="5"/>
    </w:pPr>
    <w:rPr>
      <w:rFonts w:asciiTheme="majorHAnsi" w:eastAsiaTheme="majorEastAsia" w:hAnsiTheme="majorHAnsi" w:cstheme="majorBidi"/>
      <w:i/>
      <w:iCs/>
      <w:color w:val="243F60" w:themeColor="accent1" w:themeShade="7F"/>
      <w:szCs w:val="22"/>
      <w:lang w:bidi="ar-SA"/>
    </w:rPr>
  </w:style>
  <w:style w:type="paragraph" w:styleId="Heading7">
    <w:name w:val="heading 7"/>
    <w:basedOn w:val="Normal"/>
    <w:next w:val="Normal"/>
    <w:link w:val="Heading7Char"/>
    <w:uiPriority w:val="9"/>
    <w:semiHidden/>
    <w:unhideWhenUsed/>
    <w:rsid w:val="00533BE5"/>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3BE5"/>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33BE5"/>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FC309A"/>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FC309A"/>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FC309A"/>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FC309A"/>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FC309A"/>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table" w:styleId="TableGrid">
    <w:name w:val="Table Grid"/>
    <w:basedOn w:val="TableNormal"/>
    <w:uiPriority w:val="59"/>
    <w:rsid w:val="00DD0223"/>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itle">
    <w:name w:val="FS Title"/>
    <w:basedOn w:val="Normal"/>
    <w:qFormat/>
    <w:rsid w:val="00F60395"/>
    <w:rPr>
      <w:rFonts w:cs="Tahoma"/>
      <w:bCs/>
      <w:sz w:val="32"/>
    </w:rPr>
  </w:style>
  <w:style w:type="character" w:styleId="PageNumber">
    <w:name w:val="page number"/>
    <w:basedOn w:val="DefaultParagraphFont"/>
    <w:rsid w:val="00F60395"/>
    <w:rPr>
      <w:rFonts w:ascii="Arial" w:hAnsi="Arial"/>
    </w:rPr>
  </w:style>
  <w:style w:type="character" w:styleId="CommentReference">
    <w:name w:val="annotation reference"/>
    <w:basedOn w:val="DefaultParagraphFont"/>
    <w:rsid w:val="00F60395"/>
    <w:rPr>
      <w:sz w:val="16"/>
      <w:szCs w:val="16"/>
    </w:rPr>
  </w:style>
  <w:style w:type="paragraph" w:styleId="CommentText">
    <w:name w:val="annotation text"/>
    <w:basedOn w:val="Normal"/>
    <w:link w:val="CommentTextChar"/>
    <w:rsid w:val="00F60395"/>
    <w:rPr>
      <w:sz w:val="20"/>
      <w:szCs w:val="20"/>
    </w:rPr>
  </w:style>
  <w:style w:type="character" w:customStyle="1" w:styleId="CommentTextChar">
    <w:name w:val="Comment Text Char"/>
    <w:basedOn w:val="DefaultParagraphFont"/>
    <w:link w:val="CommentText"/>
    <w:rsid w:val="00F60395"/>
    <w:rPr>
      <w:rFonts w:eastAsia="Times New Roman" w:cs="Times New Roman"/>
      <w:sz w:val="20"/>
      <w:szCs w:val="20"/>
      <w:lang w:val="en-GB" w:bidi="en-US"/>
    </w:rPr>
  </w:style>
  <w:style w:type="paragraph" w:styleId="BalloonText">
    <w:name w:val="Balloon Text"/>
    <w:basedOn w:val="Normal"/>
    <w:link w:val="BalloonTextChar"/>
    <w:uiPriority w:val="99"/>
    <w:semiHidden/>
    <w:unhideWhenUsed/>
    <w:rsid w:val="00F60395"/>
    <w:rPr>
      <w:rFonts w:ascii="Tahoma" w:hAnsi="Tahoma" w:cs="Tahoma"/>
      <w:sz w:val="16"/>
      <w:szCs w:val="16"/>
    </w:rPr>
  </w:style>
  <w:style w:type="character" w:customStyle="1" w:styleId="BalloonTextChar">
    <w:name w:val="Balloon Text Char"/>
    <w:basedOn w:val="DefaultParagraphFont"/>
    <w:link w:val="BalloonText"/>
    <w:uiPriority w:val="99"/>
    <w:semiHidden/>
    <w:rsid w:val="00F60395"/>
    <w:rPr>
      <w:rFonts w:ascii="Tahoma" w:eastAsia="Times New Roman" w:hAnsi="Tahoma" w:cs="Tahoma"/>
      <w:sz w:val="16"/>
      <w:szCs w:val="16"/>
      <w:lang w:val="en-GB" w:bidi="en-US"/>
    </w:rPr>
  </w:style>
  <w:style w:type="character" w:customStyle="1" w:styleId="Heading7Char">
    <w:name w:val="Heading 7 Char"/>
    <w:basedOn w:val="DefaultParagraphFont"/>
    <w:link w:val="Heading7"/>
    <w:uiPriority w:val="9"/>
    <w:semiHidden/>
    <w:rsid w:val="00533BE5"/>
    <w:rPr>
      <w:rFonts w:asciiTheme="majorHAnsi" w:eastAsiaTheme="majorEastAsia" w:hAnsiTheme="majorHAnsi" w:cstheme="majorBidi"/>
      <w:i/>
      <w:iCs/>
      <w:color w:val="404040" w:themeColor="text1" w:themeTint="BF"/>
      <w:szCs w:val="24"/>
      <w:lang w:val="en-GB" w:bidi="en-US"/>
    </w:rPr>
  </w:style>
  <w:style w:type="character" w:customStyle="1" w:styleId="Heading8Char">
    <w:name w:val="Heading 8 Char"/>
    <w:basedOn w:val="DefaultParagraphFont"/>
    <w:link w:val="Heading8"/>
    <w:uiPriority w:val="9"/>
    <w:semiHidden/>
    <w:rsid w:val="00533BE5"/>
    <w:rPr>
      <w:rFonts w:asciiTheme="majorHAnsi" w:eastAsiaTheme="majorEastAsia" w:hAnsiTheme="majorHAnsi" w:cstheme="majorBidi"/>
      <w:color w:val="404040" w:themeColor="text1" w:themeTint="BF"/>
      <w:sz w:val="20"/>
      <w:szCs w:val="20"/>
      <w:lang w:val="en-GB" w:bidi="en-US"/>
    </w:rPr>
  </w:style>
  <w:style w:type="character" w:customStyle="1" w:styleId="Heading9Char">
    <w:name w:val="Heading 9 Char"/>
    <w:basedOn w:val="DefaultParagraphFont"/>
    <w:link w:val="Heading9"/>
    <w:uiPriority w:val="9"/>
    <w:semiHidden/>
    <w:rsid w:val="00533BE5"/>
    <w:rPr>
      <w:rFonts w:asciiTheme="majorHAnsi" w:eastAsiaTheme="majorEastAsia" w:hAnsiTheme="majorHAnsi" w:cstheme="majorBidi"/>
      <w:i/>
      <w:iCs/>
      <w:color w:val="404040" w:themeColor="text1" w:themeTint="BF"/>
      <w:sz w:val="20"/>
      <w:szCs w:val="20"/>
      <w:lang w:val="en-GB" w:bidi="en-US"/>
    </w:rPr>
  </w:style>
  <w:style w:type="paragraph" w:styleId="CommentSubject">
    <w:name w:val="annotation subject"/>
    <w:basedOn w:val="CommentText"/>
    <w:next w:val="CommentText"/>
    <w:link w:val="CommentSubjectChar"/>
    <w:uiPriority w:val="99"/>
    <w:semiHidden/>
    <w:unhideWhenUsed/>
    <w:rsid w:val="00EA7F8E"/>
    <w:rPr>
      <w:b/>
      <w:bCs/>
    </w:rPr>
  </w:style>
  <w:style w:type="character" w:customStyle="1" w:styleId="CommentSubjectChar">
    <w:name w:val="Comment Subject Char"/>
    <w:basedOn w:val="CommentTextChar"/>
    <w:link w:val="CommentSubject"/>
    <w:uiPriority w:val="99"/>
    <w:semiHidden/>
    <w:rsid w:val="00EA7F8E"/>
    <w:rPr>
      <w:rFonts w:eastAsia="Times New Roman" w:cs="Times New Roman"/>
      <w:b/>
      <w:bCs/>
      <w:sz w:val="20"/>
      <w:szCs w:val="20"/>
      <w:lang w:val="en-GB" w:bidi="en-US"/>
    </w:rPr>
  </w:style>
  <w:style w:type="character" w:styleId="Hyperlink">
    <w:name w:val="Hyperlink"/>
    <w:basedOn w:val="DefaultParagraphFont"/>
    <w:uiPriority w:val="99"/>
    <w:rsid w:val="00044550"/>
    <w:rPr>
      <w:rFonts w:ascii="Arial" w:hAnsi="Arial"/>
      <w:color w:val="3333FF"/>
      <w:u w:val="single"/>
    </w:rPr>
  </w:style>
  <w:style w:type="paragraph" w:styleId="Revision">
    <w:name w:val="Revision"/>
    <w:hidden/>
    <w:uiPriority w:val="99"/>
    <w:semiHidden/>
    <w:rsid w:val="00531AD9"/>
    <w:rPr>
      <w:rFonts w:eastAsia="Times New Roman" w:cs="Times New Roman"/>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codexalimentarius.org/standards/list-standards/en/?no_cache=1"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1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37" ma:contentTypeDescription="FSANZ Record" ma:contentTypeScope="" ma:versionID="f7696fbb53a522343cce68f2975b384e">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40845d955131be7d32b4d88eee1af54"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D18B5-D5DF-4213-84D1-9664323D69AF}"/>
</file>

<file path=customXml/itemProps2.xml><?xml version="1.0" encoding="utf-8"?>
<ds:datastoreItem xmlns:ds="http://schemas.openxmlformats.org/officeDocument/2006/customXml" ds:itemID="{FA95EF2C-9996-43C6-8221-838216DDF851}"/>
</file>

<file path=customXml/itemProps3.xml><?xml version="1.0" encoding="utf-8"?>
<ds:datastoreItem xmlns:ds="http://schemas.openxmlformats.org/officeDocument/2006/customXml" ds:itemID="{8C48CBE5-1890-4421-90A6-8FF26C53E550}"/>
</file>

<file path=customXml/itemProps4.xml><?xml version="1.0" encoding="utf-8"?>
<ds:datastoreItem xmlns:ds="http://schemas.openxmlformats.org/officeDocument/2006/customXml" ds:itemID="{748D18B5-D5DF-4213-84D1-9664323D69AF}"/>
</file>

<file path=customXml/itemProps5.xml><?xml version="1.0" encoding="utf-8"?>
<ds:datastoreItem xmlns:ds="http://schemas.openxmlformats.org/officeDocument/2006/customXml" ds:itemID="{E483B718-2248-4B5A-96A7-309621FA58C9}"/>
</file>

<file path=customXml/itemProps6.xml><?xml version="1.0" encoding="utf-8"?>
<ds:datastoreItem xmlns:ds="http://schemas.openxmlformats.org/officeDocument/2006/customXml" ds:itemID="{29CE9323-D8C7-41EA-A52E-3130A9387036}"/>
</file>

<file path=docProps/app.xml><?xml version="1.0" encoding="utf-8"?>
<Properties xmlns="http://schemas.openxmlformats.org/officeDocument/2006/extended-properties" xmlns:vt="http://schemas.openxmlformats.org/officeDocument/2006/docPropsVTypes">
  <Template>Normal.dotm</Template>
  <TotalTime>2</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SD process Hygienes criteria for powdered infant formula products</vt:lpstr>
    </vt:vector>
  </TitlesOfParts>
  <Company>Foodstandards</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 process Hygienes criteria for powdered infant formula products</dc:title>
  <dc:creator>blenmp</dc:creator>
  <cp:keywords>Microbiological criteria infant formula</cp:keywords>
  <cp:lastModifiedBy>humphc</cp:lastModifiedBy>
  <cp:revision>5</cp:revision>
  <dcterms:created xsi:type="dcterms:W3CDTF">2015-10-07T03:30:00Z</dcterms:created>
  <dcterms:modified xsi:type="dcterms:W3CDTF">2015-10-07T05:30:00Z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_dlc_DocIdItemGuid">
    <vt:lpwstr>77c4b215-c45b-4f65-8524-bbb04ef3c146</vt:lpwstr>
  </property>
  <property fmtid="{D5CDD505-2E9C-101B-9397-08002B2CF9AE}" pid="4" name="BCS_">
    <vt:lpwstr>40;#Evaluation|43bd8487-b9f6-4055-946c-a118d364275d</vt:lpwstr>
  </property>
  <property fmtid="{D5CDD505-2E9C-101B-9397-08002B2CF9AE}" pid="5" name="DisposalClass">
    <vt:lpwstr/>
  </property>
</Properties>
</file>